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EBA" w:rsidRPr="00BC2EBA" w:rsidRDefault="00BC2EBA" w:rsidP="00BC2EBA">
      <w:pPr>
        <w:spacing w:before="100" w:beforeAutospacing="1" w:after="100" w:afterAutospacing="1" w:line="240" w:lineRule="auto"/>
        <w:jc w:val="center"/>
        <w:outlineLvl w:val="2"/>
        <w:rPr>
          <w:rFonts w:ascii="inherit" w:eastAsia="Times New Roman" w:hAnsi="inherit" w:cs="Times New Roman"/>
          <w:b/>
          <w:color w:val="333333"/>
          <w:sz w:val="29"/>
          <w:szCs w:val="27"/>
        </w:rPr>
      </w:pPr>
      <w:r w:rsidRPr="00BC2EBA">
        <w:rPr>
          <w:rFonts w:ascii="inherit" w:eastAsia="Times New Roman" w:hAnsi="inherit" w:cs="Times New Roman"/>
          <w:b/>
          <w:color w:val="333333"/>
          <w:sz w:val="29"/>
          <w:szCs w:val="27"/>
        </w:rPr>
        <w:t>Rules for the Use of Numbers in Scientific Writing</w:t>
      </w:r>
    </w:p>
    <w:p w:rsidR="00BC2EBA" w:rsidRDefault="00BC2EBA" w:rsidP="00BC2EBA">
      <w:pPr>
        <w:spacing w:before="100" w:beforeAutospacing="1" w:after="100" w:afterAutospacing="1" w:line="240" w:lineRule="auto"/>
        <w:outlineLvl w:val="2"/>
        <w:rPr>
          <w:rFonts w:ascii="inherit" w:eastAsia="Times New Roman" w:hAnsi="inherit" w:cs="Times New Roman"/>
          <w:b/>
          <w:color w:val="333333"/>
          <w:sz w:val="27"/>
          <w:szCs w:val="27"/>
        </w:rPr>
      </w:pPr>
      <w:r>
        <w:rPr>
          <w:rFonts w:ascii="inherit" w:eastAsia="Times New Roman" w:hAnsi="inherit" w:cs="Times New Roman"/>
          <w:b/>
          <w:color w:val="333333"/>
          <w:sz w:val="27"/>
          <w:szCs w:val="27"/>
        </w:rPr>
        <w:t xml:space="preserve">From: </w:t>
      </w:r>
      <w:hyperlink r:id="rId4" w:history="1">
        <w:r w:rsidRPr="00B92B22">
          <w:rPr>
            <w:rStyle w:val="Hyperlink"/>
            <w:rFonts w:ascii="inherit" w:eastAsia="Times New Roman" w:hAnsi="inherit" w:cs="Times New Roman"/>
            <w:b/>
            <w:sz w:val="27"/>
            <w:szCs w:val="27"/>
          </w:rPr>
          <w:t>https://cnx.org/contents/k23x5aEB@1/Rules-for-the-Use-of-Numbers-in-Scientific-Writing</w:t>
        </w:r>
      </w:hyperlink>
    </w:p>
    <w:p w:rsidR="00BC2EBA" w:rsidRDefault="00BC2EBA" w:rsidP="00BC2EBA">
      <w:pPr>
        <w:spacing w:before="100" w:beforeAutospacing="1" w:after="100" w:afterAutospacing="1" w:line="240" w:lineRule="auto"/>
        <w:outlineLvl w:val="2"/>
        <w:rPr>
          <w:rFonts w:ascii="inherit" w:eastAsia="Times New Roman" w:hAnsi="inherit" w:cs="Times New Roman"/>
          <w:b/>
          <w:color w:val="333333"/>
          <w:sz w:val="27"/>
          <w:szCs w:val="27"/>
        </w:rPr>
      </w:pPr>
      <w:r w:rsidRPr="00BC2EBA">
        <w:rPr>
          <w:rFonts w:ascii="inherit" w:eastAsia="Times New Roman" w:hAnsi="inherit" w:cs="Times New Roman"/>
          <w:b/>
          <w:color w:val="333333"/>
          <w:sz w:val="27"/>
          <w:szCs w:val="27"/>
        </w:rPr>
        <w:t>Adapted from Burnett, RE (1997) Technical Communication, 4th ed. Wadsworth: Washington, D.C</w:t>
      </w:r>
      <w:bookmarkStart w:id="0" w:name="_GoBack"/>
      <w:bookmarkEnd w:id="0"/>
    </w:p>
    <w:p w:rsidR="00BC2EBA" w:rsidRPr="00BC2EBA" w:rsidRDefault="00BC2EBA" w:rsidP="00BC2EBA">
      <w:pPr>
        <w:spacing w:before="100" w:beforeAutospacing="1" w:after="100" w:afterAutospacing="1" w:line="240" w:lineRule="auto"/>
        <w:outlineLvl w:val="2"/>
        <w:rPr>
          <w:rFonts w:ascii="inherit" w:eastAsia="Times New Roman" w:hAnsi="inherit" w:cs="Times New Roman"/>
          <w:color w:val="333333"/>
          <w:sz w:val="27"/>
          <w:szCs w:val="27"/>
        </w:rPr>
      </w:pPr>
      <w:r w:rsidRPr="00BC2EBA">
        <w:rPr>
          <w:rFonts w:ascii="inherit" w:eastAsia="Times New Roman" w:hAnsi="inherit" w:cs="Times New Roman"/>
          <w:b/>
          <w:color w:val="333333"/>
          <w:sz w:val="27"/>
          <w:szCs w:val="27"/>
        </w:rPr>
        <w:t>RULE 1:</w:t>
      </w:r>
      <w:r w:rsidRPr="00BC2EBA">
        <w:rPr>
          <w:rFonts w:ascii="inherit" w:eastAsia="Times New Roman" w:hAnsi="inherit" w:cs="Times New Roman"/>
          <w:color w:val="333333"/>
          <w:sz w:val="27"/>
          <w:szCs w:val="27"/>
        </w:rPr>
        <w:t xml:space="preserve"> Generally, use words for numbers one through nine, and numerals for all other numbers, both cardinal and ordinal. However, use numerals if both single-digit and higher ordinal numbers are used in a single sentence.</w:t>
      </w:r>
    </w:p>
    <w:tbl>
      <w:tblPr>
        <w:tblW w:w="12270" w:type="dxa"/>
        <w:tblCellMar>
          <w:top w:w="15" w:type="dxa"/>
          <w:left w:w="15" w:type="dxa"/>
          <w:bottom w:w="15" w:type="dxa"/>
          <w:right w:w="15" w:type="dxa"/>
        </w:tblCellMar>
        <w:tblLook w:val="04A0" w:firstRow="1" w:lastRow="0" w:firstColumn="1" w:lastColumn="0" w:noHBand="0" w:noVBand="1"/>
        <w:tblDescription w:val=""/>
      </w:tblPr>
      <w:tblGrid>
        <w:gridCol w:w="5699"/>
        <w:gridCol w:w="6571"/>
      </w:tblGrid>
      <w:tr w:rsidR="00BC2EBA" w:rsidRPr="00BC2EBA" w:rsidTr="00BC2EBA">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b/>
                <w:bCs/>
                <w:sz w:val="24"/>
                <w:szCs w:val="24"/>
              </w:rPr>
              <w:t>Cardinal</w:t>
            </w:r>
          </w:p>
        </w:tc>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b/>
                <w:bCs/>
                <w:sz w:val="24"/>
                <w:szCs w:val="24"/>
              </w:rPr>
              <w:t>Ordinal</w:t>
            </w:r>
          </w:p>
        </w:tc>
      </w:tr>
      <w:tr w:rsidR="00BC2EBA" w:rsidRPr="00BC2EBA" w:rsidTr="00BC2EBA">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I washed the plate three times.</w:t>
            </w:r>
          </w:p>
        </w:tc>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The third plate grew cells.</w:t>
            </w:r>
          </w:p>
        </w:tc>
      </w:tr>
      <w:tr w:rsidR="00BC2EBA" w:rsidRPr="00BC2EBA" w:rsidTr="00BC2EBA">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I washed the plate 12 times.</w:t>
            </w:r>
          </w:p>
        </w:tc>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The 12th plate grew cells.</w:t>
            </w:r>
          </w:p>
        </w:tc>
      </w:tr>
      <w:tr w:rsidR="00BC2EBA" w:rsidRPr="00BC2EBA" w:rsidTr="00BC2EBA">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p>
        </w:tc>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The 3rd and 12th plates grew cells.</w:t>
            </w:r>
          </w:p>
        </w:tc>
      </w:tr>
    </w:tbl>
    <w:p w:rsidR="00BC2EBA" w:rsidRPr="00BC2EBA" w:rsidRDefault="00BC2EBA" w:rsidP="00BC2EBA">
      <w:pPr>
        <w:spacing w:before="100" w:beforeAutospacing="1" w:after="100" w:afterAutospacing="1" w:line="240" w:lineRule="auto"/>
        <w:outlineLvl w:val="2"/>
        <w:rPr>
          <w:rFonts w:ascii="inherit" w:eastAsia="Times New Roman" w:hAnsi="inherit" w:cs="Times New Roman"/>
          <w:color w:val="333333"/>
          <w:sz w:val="27"/>
          <w:szCs w:val="27"/>
        </w:rPr>
      </w:pPr>
      <w:r w:rsidRPr="00BC2EBA">
        <w:rPr>
          <w:rFonts w:ascii="inherit" w:eastAsia="Times New Roman" w:hAnsi="inherit" w:cs="Times New Roman"/>
          <w:b/>
          <w:color w:val="333333"/>
          <w:sz w:val="27"/>
          <w:szCs w:val="27"/>
        </w:rPr>
        <w:t>RULE 2:</w:t>
      </w:r>
      <w:r w:rsidRPr="00BC2EBA">
        <w:rPr>
          <w:rFonts w:ascii="inherit" w:eastAsia="Times New Roman" w:hAnsi="inherit" w:cs="Times New Roman"/>
          <w:color w:val="333333"/>
          <w:sz w:val="27"/>
          <w:szCs w:val="27"/>
        </w:rPr>
        <w:t xml:space="preserve"> Use words at the beginning of the sentence. If this is awkward, rewrite the sentence. If a chemical term contains a numeral, you cannot spell it out, so you must reword the sentence.</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Original: 12 patients participated in the study.</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b/>
          <w:bCs/>
          <w:color w:val="555555"/>
          <w:sz w:val="24"/>
          <w:szCs w:val="24"/>
        </w:rPr>
        <w:t>Revised: Twelve patients participated in the study.</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Original: 133 patients were interviewed.</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b/>
          <w:bCs/>
          <w:color w:val="555555"/>
          <w:sz w:val="24"/>
          <w:szCs w:val="24"/>
        </w:rPr>
        <w:t>Revised: We interviewed 133 patients.</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Original: 2-mercaptoethanol was the mutagen in our experiment.</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b/>
          <w:bCs/>
          <w:color w:val="555555"/>
          <w:sz w:val="24"/>
          <w:szCs w:val="24"/>
        </w:rPr>
        <w:t>Revised: The mutagen in our experiment was 2-mercaptoethanol.</w:t>
      </w:r>
    </w:p>
    <w:p w:rsidR="00BC2EBA" w:rsidRPr="00BC2EBA" w:rsidRDefault="00BC2EBA" w:rsidP="00BC2EBA">
      <w:pPr>
        <w:spacing w:before="100" w:beforeAutospacing="1" w:after="100" w:afterAutospacing="1" w:line="240" w:lineRule="auto"/>
        <w:outlineLvl w:val="2"/>
        <w:rPr>
          <w:rFonts w:ascii="inherit" w:eastAsia="Times New Roman" w:hAnsi="inherit" w:cs="Times New Roman"/>
          <w:color w:val="333333"/>
          <w:sz w:val="27"/>
          <w:szCs w:val="27"/>
        </w:rPr>
      </w:pPr>
      <w:r w:rsidRPr="00BC2EBA">
        <w:rPr>
          <w:rFonts w:ascii="inherit" w:eastAsia="Times New Roman" w:hAnsi="inherit" w:cs="Times New Roman"/>
          <w:b/>
          <w:color w:val="333333"/>
          <w:sz w:val="27"/>
          <w:szCs w:val="27"/>
        </w:rPr>
        <w:t>RULE 3:</w:t>
      </w:r>
      <w:r w:rsidRPr="00BC2EBA">
        <w:rPr>
          <w:rFonts w:ascii="inherit" w:eastAsia="Times New Roman" w:hAnsi="inherit" w:cs="Times New Roman"/>
          <w:color w:val="333333"/>
          <w:sz w:val="27"/>
          <w:szCs w:val="27"/>
        </w:rPr>
        <w:t xml:space="preserve"> Use numerals for physical quantities—distances, lengths, volumes, areas, etc. Leave a space between the numeral and the unit, except in the case of </w:t>
      </w:r>
      <w:r w:rsidRPr="00BC2EBA">
        <w:rPr>
          <w:rFonts w:ascii="inherit" w:eastAsia="Times New Roman" w:hAnsi="inherit" w:cs="Times New Roman"/>
          <w:color w:val="333333"/>
          <w:sz w:val="27"/>
          <w:szCs w:val="27"/>
          <w:vertAlign w:val="superscript"/>
        </w:rPr>
        <w:t>o</w:t>
      </w:r>
      <w:r>
        <w:rPr>
          <w:rFonts w:ascii="inherit" w:eastAsia="Times New Roman" w:hAnsi="inherit" w:cs="Times New Roman"/>
          <w:color w:val="333333"/>
          <w:sz w:val="27"/>
          <w:szCs w:val="27"/>
          <w:vertAlign w:val="superscript"/>
        </w:rPr>
        <w:t xml:space="preserve"> </w:t>
      </w:r>
      <w:r>
        <w:rPr>
          <w:rFonts w:ascii="inherit" w:eastAsia="Times New Roman" w:hAnsi="inherit" w:cs="Times New Roman"/>
          <w:color w:val="333333"/>
          <w:sz w:val="27"/>
          <w:szCs w:val="27"/>
        </w:rPr>
        <w:t xml:space="preserve">(degrees) </w:t>
      </w:r>
      <w:r w:rsidRPr="00BC2EBA">
        <w:rPr>
          <w:rFonts w:ascii="inherit" w:eastAsia="Times New Roman" w:hAnsi="inherit" w:cs="Times New Roman"/>
          <w:color w:val="333333"/>
          <w:sz w:val="27"/>
          <w:szCs w:val="27"/>
        </w:rPr>
        <w:t>and % (see example below and in RULE 4).</w:t>
      </w:r>
    </w:p>
    <w:tbl>
      <w:tblPr>
        <w:tblW w:w="12270" w:type="dxa"/>
        <w:tblCellMar>
          <w:top w:w="15" w:type="dxa"/>
          <w:left w:w="15" w:type="dxa"/>
          <w:bottom w:w="15" w:type="dxa"/>
          <w:right w:w="15" w:type="dxa"/>
        </w:tblCellMar>
        <w:tblLook w:val="04A0" w:firstRow="1" w:lastRow="0" w:firstColumn="1" w:lastColumn="0" w:noHBand="0" w:noVBand="1"/>
        <w:tblDescription w:val=""/>
      </w:tblPr>
      <w:tblGrid>
        <w:gridCol w:w="5321"/>
        <w:gridCol w:w="3717"/>
        <w:gridCol w:w="3232"/>
      </w:tblGrid>
      <w:tr w:rsidR="00BC2EBA" w:rsidRPr="00BC2EBA" w:rsidTr="00BC2EBA">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20</w:t>
            </w:r>
            <w:r w:rsidRPr="00BC2EBA">
              <w:rPr>
                <w:rFonts w:ascii="Times New Roman" w:eastAsia="Times New Roman" w:hAnsi="Times New Roman" w:cs="Times New Roman"/>
                <w:sz w:val="24"/>
                <w:szCs w:val="24"/>
                <w:vertAlign w:val="superscript"/>
              </w:rPr>
              <w:t>o</w:t>
            </w:r>
            <w:r w:rsidRPr="00BC2EBA">
              <w:rPr>
                <w:rFonts w:ascii="Times New Roman" w:eastAsia="Times New Roman" w:hAnsi="Times New Roman" w:cs="Times New Roman"/>
                <w:sz w:val="24"/>
                <w:szCs w:val="24"/>
              </w:rPr>
              <w:t xml:space="preserve"> C</w:t>
            </w:r>
          </w:p>
        </w:tc>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17 in</w:t>
            </w:r>
          </w:p>
        </w:tc>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3.2 L</w:t>
            </w:r>
          </w:p>
        </w:tc>
      </w:tr>
      <w:tr w:rsidR="00BC2EBA" w:rsidRPr="00BC2EBA" w:rsidTr="00BC2EBA">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lastRenderedPageBreak/>
              <w:t>100 microliters</w:t>
            </w:r>
          </w:p>
        </w:tc>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 xml:space="preserve">1,200 </w:t>
            </w:r>
            <w:proofErr w:type="spellStart"/>
            <w:r w:rsidRPr="00BC2EBA">
              <w:rPr>
                <w:rFonts w:ascii="Times New Roman" w:eastAsia="Times New Roman" w:hAnsi="Times New Roman" w:cs="Times New Roman"/>
                <w:sz w:val="24"/>
                <w:szCs w:val="24"/>
              </w:rPr>
              <w:t>sq</w:t>
            </w:r>
            <w:proofErr w:type="spellEnd"/>
            <w:r w:rsidRPr="00BC2EBA">
              <w:rPr>
                <w:rFonts w:ascii="Times New Roman" w:eastAsia="Times New Roman" w:hAnsi="Times New Roman" w:cs="Times New Roman"/>
                <w:sz w:val="24"/>
                <w:szCs w:val="24"/>
              </w:rPr>
              <w:t xml:space="preserve"> </w:t>
            </w:r>
            <w:proofErr w:type="spellStart"/>
            <w:r w:rsidRPr="00BC2EBA">
              <w:rPr>
                <w:rFonts w:ascii="Times New Roman" w:eastAsia="Times New Roman" w:hAnsi="Times New Roman" w:cs="Times New Roman"/>
                <w:sz w:val="24"/>
                <w:szCs w:val="24"/>
              </w:rPr>
              <w:t>ft</w:t>
            </w:r>
            <w:proofErr w:type="spellEnd"/>
          </w:p>
        </w:tc>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220 volts</w:t>
            </w:r>
          </w:p>
        </w:tc>
      </w:tr>
    </w:tbl>
    <w:p w:rsidR="00BC2EBA" w:rsidRPr="00BC2EBA" w:rsidRDefault="00BC2EBA" w:rsidP="00BC2EBA">
      <w:pPr>
        <w:spacing w:before="100" w:beforeAutospacing="1" w:after="100" w:afterAutospacing="1" w:line="240" w:lineRule="auto"/>
        <w:outlineLvl w:val="2"/>
        <w:rPr>
          <w:rFonts w:ascii="inherit" w:eastAsia="Times New Roman" w:hAnsi="inherit" w:cs="Times New Roman"/>
          <w:color w:val="333333"/>
          <w:sz w:val="27"/>
          <w:szCs w:val="27"/>
        </w:rPr>
      </w:pPr>
      <w:r w:rsidRPr="00BC2EBA">
        <w:rPr>
          <w:rFonts w:ascii="inherit" w:eastAsia="Times New Roman" w:hAnsi="inherit" w:cs="Times New Roman"/>
          <w:b/>
          <w:color w:val="333333"/>
          <w:sz w:val="27"/>
          <w:szCs w:val="27"/>
        </w:rPr>
        <w:t>RULE 4:</w:t>
      </w:r>
      <w:r w:rsidRPr="00BC2EBA">
        <w:rPr>
          <w:rFonts w:ascii="inherit" w:eastAsia="Times New Roman" w:hAnsi="inherit" w:cs="Times New Roman"/>
          <w:color w:val="333333"/>
          <w:sz w:val="27"/>
          <w:szCs w:val="27"/>
        </w:rPr>
        <w:t xml:space="preserve"> Use numerals for all percentages and decimal fractions.</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A rejection rate of 7% is too high.</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The average reading on the machine was 2.54.</w:t>
      </w:r>
    </w:p>
    <w:p w:rsidR="00BC2EBA" w:rsidRPr="00BC2EBA" w:rsidRDefault="00BC2EBA" w:rsidP="00BC2EBA">
      <w:pPr>
        <w:spacing w:before="100" w:beforeAutospacing="1" w:after="100" w:afterAutospacing="1" w:line="240" w:lineRule="auto"/>
        <w:outlineLvl w:val="2"/>
        <w:rPr>
          <w:rFonts w:ascii="inherit" w:eastAsia="Times New Roman" w:hAnsi="inherit" w:cs="Times New Roman"/>
          <w:color w:val="333333"/>
          <w:sz w:val="27"/>
          <w:szCs w:val="27"/>
        </w:rPr>
      </w:pPr>
      <w:r w:rsidRPr="00BC2EBA">
        <w:rPr>
          <w:rFonts w:ascii="inherit" w:eastAsia="Times New Roman" w:hAnsi="inherit" w:cs="Times New Roman"/>
          <w:b/>
          <w:color w:val="333333"/>
          <w:sz w:val="27"/>
          <w:szCs w:val="27"/>
        </w:rPr>
        <w:t>RULE 5:</w:t>
      </w:r>
      <w:r w:rsidRPr="00BC2EBA">
        <w:rPr>
          <w:rFonts w:ascii="inherit" w:eastAsia="Times New Roman" w:hAnsi="inherit" w:cs="Times New Roman"/>
          <w:color w:val="333333"/>
          <w:sz w:val="27"/>
          <w:szCs w:val="27"/>
        </w:rPr>
        <w:t xml:space="preserve"> Decimal fractions less than one are set with an initial zero if the quantity expressed is capable of equaling or exceeding 1.00. If the quantity never equals 1.00, then no zero is used.</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Ratio of 0.93 (not .93)</w:t>
      </w:r>
    </w:p>
    <w:p w:rsidR="00BC2EBA" w:rsidRPr="00BC2EBA" w:rsidRDefault="00BC2EBA" w:rsidP="00BC2EBA">
      <w:pPr>
        <w:spacing w:before="100" w:beforeAutospacing="1" w:after="100" w:afterAutospacing="1" w:line="240" w:lineRule="auto"/>
        <w:rPr>
          <w:rFonts w:ascii="Times New Roman" w:eastAsia="Times New Roman" w:hAnsi="Times New Roman" w:cs="Times New Roman"/>
          <w:color w:val="555555"/>
          <w:sz w:val="24"/>
          <w:szCs w:val="24"/>
        </w:rPr>
      </w:pPr>
      <w:r w:rsidRPr="00BC2EBA">
        <w:rPr>
          <w:rFonts w:ascii="Times New Roman" w:eastAsia="Times New Roman" w:hAnsi="Times New Roman" w:cs="Times New Roman"/>
          <w:color w:val="555555"/>
          <w:sz w:val="24"/>
          <w:szCs w:val="24"/>
        </w:rPr>
        <w:t>P &lt; .07 (not 0.07, although this may be accepted in some disciplines)</w:t>
      </w:r>
    </w:p>
    <w:p w:rsidR="00BC2EBA" w:rsidRPr="00BC2EBA" w:rsidRDefault="00BC2EBA" w:rsidP="00BC2EBA">
      <w:pPr>
        <w:spacing w:before="100" w:beforeAutospacing="1" w:after="100" w:afterAutospacing="1" w:line="240" w:lineRule="auto"/>
        <w:outlineLvl w:val="2"/>
        <w:rPr>
          <w:rFonts w:ascii="inherit" w:eastAsia="Times New Roman" w:hAnsi="inherit" w:cs="Times New Roman"/>
          <w:color w:val="333333"/>
          <w:sz w:val="27"/>
          <w:szCs w:val="27"/>
        </w:rPr>
      </w:pPr>
      <w:r w:rsidRPr="00BC2EBA">
        <w:rPr>
          <w:rFonts w:ascii="inherit" w:eastAsia="Times New Roman" w:hAnsi="inherit" w:cs="Times New Roman"/>
          <w:b/>
          <w:color w:val="333333"/>
          <w:sz w:val="27"/>
          <w:szCs w:val="27"/>
        </w:rPr>
        <w:t>RULE 6:</w:t>
      </w:r>
      <w:r w:rsidRPr="00BC2EBA">
        <w:rPr>
          <w:rFonts w:ascii="inherit" w:eastAsia="Times New Roman" w:hAnsi="inherit" w:cs="Times New Roman"/>
          <w:color w:val="333333"/>
          <w:sz w:val="27"/>
          <w:szCs w:val="27"/>
        </w:rPr>
        <w:t xml:space="preserve"> Use figures to indicate age.</w:t>
      </w:r>
    </w:p>
    <w:tbl>
      <w:tblPr>
        <w:tblW w:w="12270" w:type="dxa"/>
        <w:tblCellMar>
          <w:top w:w="15" w:type="dxa"/>
          <w:left w:w="15" w:type="dxa"/>
          <w:bottom w:w="15" w:type="dxa"/>
          <w:right w:w="15" w:type="dxa"/>
        </w:tblCellMar>
        <w:tblLook w:val="04A0" w:firstRow="1" w:lastRow="0" w:firstColumn="1" w:lastColumn="0" w:noHBand="0" w:noVBand="1"/>
        <w:tblDescription w:val=""/>
      </w:tblPr>
      <w:tblGrid>
        <w:gridCol w:w="4804"/>
        <w:gridCol w:w="7466"/>
      </w:tblGrid>
      <w:tr w:rsidR="00BC2EBA" w:rsidRPr="00BC2EBA" w:rsidTr="00BC2EBA">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Age 38</w:t>
            </w:r>
          </w:p>
        </w:tc>
        <w:tc>
          <w:tcPr>
            <w:tcW w:w="0" w:type="auto"/>
            <w:shd w:val="clear" w:color="auto" w:fill="F9F9F9"/>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18 months old</w:t>
            </w:r>
          </w:p>
        </w:tc>
      </w:tr>
      <w:tr w:rsidR="00BC2EBA" w:rsidRPr="00BC2EBA" w:rsidTr="00BC2EBA">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2-year-old</w:t>
            </w:r>
          </w:p>
        </w:tc>
        <w:tc>
          <w:tcPr>
            <w:tcW w:w="0" w:type="auto"/>
            <w:shd w:val="clear" w:color="auto" w:fill="auto"/>
            <w:tcMar>
              <w:top w:w="0" w:type="dxa"/>
              <w:left w:w="0" w:type="dxa"/>
              <w:bottom w:w="0" w:type="dxa"/>
              <w:right w:w="0" w:type="dxa"/>
            </w:tcMar>
            <w:vAlign w:val="center"/>
            <w:hideMark/>
          </w:tcPr>
          <w:p w:rsidR="00BC2EBA" w:rsidRPr="00BC2EBA" w:rsidRDefault="00BC2EBA" w:rsidP="00BC2EBA">
            <w:pPr>
              <w:spacing w:after="300" w:line="240" w:lineRule="auto"/>
              <w:rPr>
                <w:rFonts w:ascii="Times New Roman" w:eastAsia="Times New Roman" w:hAnsi="Times New Roman" w:cs="Times New Roman"/>
                <w:sz w:val="24"/>
                <w:szCs w:val="24"/>
              </w:rPr>
            </w:pPr>
            <w:r w:rsidRPr="00BC2EBA">
              <w:rPr>
                <w:rFonts w:ascii="Times New Roman" w:eastAsia="Times New Roman" w:hAnsi="Times New Roman" w:cs="Times New Roman"/>
                <w:sz w:val="24"/>
                <w:szCs w:val="24"/>
              </w:rPr>
              <w:t>men in their 70s</w:t>
            </w:r>
          </w:p>
        </w:tc>
      </w:tr>
    </w:tbl>
    <w:p w:rsidR="001B3029" w:rsidRDefault="001B3029"/>
    <w:sectPr w:rsidR="001B3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EBA"/>
    <w:rsid w:val="001B3029"/>
    <w:rsid w:val="00BC2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83C0"/>
  <w15:chartTrackingRefBased/>
  <w15:docId w15:val="{E8DC42AA-C95C-4AE5-82EA-3CDF1A61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E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9847">
      <w:bodyDiv w:val="1"/>
      <w:marLeft w:val="0"/>
      <w:marRight w:val="0"/>
      <w:marTop w:val="0"/>
      <w:marBottom w:val="0"/>
      <w:divBdr>
        <w:top w:val="none" w:sz="0" w:space="0" w:color="auto"/>
        <w:left w:val="none" w:sz="0" w:space="0" w:color="auto"/>
        <w:bottom w:val="none" w:sz="0" w:space="0" w:color="auto"/>
        <w:right w:val="none" w:sz="0" w:space="0" w:color="auto"/>
      </w:divBdr>
      <w:divsChild>
        <w:div w:id="187566149">
          <w:marLeft w:val="0"/>
          <w:marRight w:val="0"/>
          <w:marTop w:val="0"/>
          <w:marBottom w:val="0"/>
          <w:divBdr>
            <w:top w:val="none" w:sz="0" w:space="0" w:color="auto"/>
            <w:left w:val="none" w:sz="0" w:space="0" w:color="auto"/>
            <w:bottom w:val="none" w:sz="0" w:space="0" w:color="auto"/>
            <w:right w:val="none" w:sz="0" w:space="0" w:color="auto"/>
          </w:divBdr>
        </w:div>
        <w:div w:id="1681076694">
          <w:marLeft w:val="0"/>
          <w:marRight w:val="0"/>
          <w:marTop w:val="0"/>
          <w:marBottom w:val="0"/>
          <w:divBdr>
            <w:top w:val="none" w:sz="0" w:space="0" w:color="auto"/>
            <w:left w:val="none" w:sz="0" w:space="0" w:color="auto"/>
            <w:bottom w:val="none" w:sz="0" w:space="0" w:color="auto"/>
            <w:right w:val="none" w:sz="0" w:space="0" w:color="auto"/>
          </w:divBdr>
        </w:div>
        <w:div w:id="1953785159">
          <w:marLeft w:val="0"/>
          <w:marRight w:val="0"/>
          <w:marTop w:val="0"/>
          <w:marBottom w:val="0"/>
          <w:divBdr>
            <w:top w:val="none" w:sz="0" w:space="0" w:color="auto"/>
            <w:left w:val="none" w:sz="0" w:space="0" w:color="auto"/>
            <w:bottom w:val="none" w:sz="0" w:space="0" w:color="auto"/>
            <w:right w:val="none" w:sz="0" w:space="0" w:color="auto"/>
          </w:divBdr>
        </w:div>
      </w:divsChild>
    </w:div>
    <w:div w:id="457066601">
      <w:bodyDiv w:val="1"/>
      <w:marLeft w:val="0"/>
      <w:marRight w:val="0"/>
      <w:marTop w:val="0"/>
      <w:marBottom w:val="0"/>
      <w:divBdr>
        <w:top w:val="none" w:sz="0" w:space="0" w:color="auto"/>
        <w:left w:val="none" w:sz="0" w:space="0" w:color="auto"/>
        <w:bottom w:val="none" w:sz="0" w:space="0" w:color="auto"/>
        <w:right w:val="none" w:sz="0" w:space="0" w:color="auto"/>
      </w:divBdr>
      <w:divsChild>
        <w:div w:id="2133013937">
          <w:marLeft w:val="0"/>
          <w:marRight w:val="0"/>
          <w:marTop w:val="0"/>
          <w:marBottom w:val="0"/>
          <w:divBdr>
            <w:top w:val="none" w:sz="0" w:space="0" w:color="auto"/>
            <w:left w:val="none" w:sz="0" w:space="0" w:color="auto"/>
            <w:bottom w:val="none" w:sz="0" w:space="0" w:color="auto"/>
            <w:right w:val="none" w:sz="0" w:space="0" w:color="auto"/>
          </w:divBdr>
        </w:div>
        <w:div w:id="1215115022">
          <w:marLeft w:val="0"/>
          <w:marRight w:val="0"/>
          <w:marTop w:val="0"/>
          <w:marBottom w:val="0"/>
          <w:divBdr>
            <w:top w:val="none" w:sz="0" w:space="0" w:color="auto"/>
            <w:left w:val="none" w:sz="0" w:space="0" w:color="auto"/>
            <w:bottom w:val="none" w:sz="0" w:space="0" w:color="auto"/>
            <w:right w:val="none" w:sz="0" w:space="0" w:color="auto"/>
          </w:divBdr>
        </w:div>
        <w:div w:id="1106582060">
          <w:marLeft w:val="0"/>
          <w:marRight w:val="0"/>
          <w:marTop w:val="0"/>
          <w:marBottom w:val="0"/>
          <w:divBdr>
            <w:top w:val="none" w:sz="0" w:space="0" w:color="auto"/>
            <w:left w:val="none" w:sz="0" w:space="0" w:color="auto"/>
            <w:bottom w:val="none" w:sz="0" w:space="0" w:color="auto"/>
            <w:right w:val="none" w:sz="0" w:space="0" w:color="auto"/>
          </w:divBdr>
        </w:div>
      </w:divsChild>
    </w:div>
    <w:div w:id="690303794">
      <w:bodyDiv w:val="1"/>
      <w:marLeft w:val="0"/>
      <w:marRight w:val="0"/>
      <w:marTop w:val="0"/>
      <w:marBottom w:val="0"/>
      <w:divBdr>
        <w:top w:val="none" w:sz="0" w:space="0" w:color="auto"/>
        <w:left w:val="none" w:sz="0" w:space="0" w:color="auto"/>
        <w:bottom w:val="none" w:sz="0" w:space="0" w:color="auto"/>
        <w:right w:val="none" w:sz="0" w:space="0" w:color="auto"/>
      </w:divBdr>
      <w:divsChild>
        <w:div w:id="1940530382">
          <w:marLeft w:val="0"/>
          <w:marRight w:val="0"/>
          <w:marTop w:val="0"/>
          <w:marBottom w:val="0"/>
          <w:divBdr>
            <w:top w:val="none" w:sz="0" w:space="0" w:color="auto"/>
            <w:left w:val="none" w:sz="0" w:space="0" w:color="auto"/>
            <w:bottom w:val="none" w:sz="0" w:space="0" w:color="auto"/>
            <w:right w:val="none" w:sz="0" w:space="0" w:color="auto"/>
          </w:divBdr>
        </w:div>
        <w:div w:id="546991426">
          <w:marLeft w:val="0"/>
          <w:marRight w:val="0"/>
          <w:marTop w:val="0"/>
          <w:marBottom w:val="0"/>
          <w:divBdr>
            <w:top w:val="none" w:sz="0" w:space="0" w:color="auto"/>
            <w:left w:val="none" w:sz="0" w:space="0" w:color="auto"/>
            <w:bottom w:val="none" w:sz="0" w:space="0" w:color="auto"/>
            <w:right w:val="none" w:sz="0" w:space="0" w:color="auto"/>
          </w:divBdr>
        </w:div>
        <w:div w:id="2056351833">
          <w:marLeft w:val="0"/>
          <w:marRight w:val="0"/>
          <w:marTop w:val="0"/>
          <w:marBottom w:val="0"/>
          <w:divBdr>
            <w:top w:val="none" w:sz="0" w:space="0" w:color="auto"/>
            <w:left w:val="none" w:sz="0" w:space="0" w:color="auto"/>
            <w:bottom w:val="none" w:sz="0" w:space="0" w:color="auto"/>
            <w:right w:val="none" w:sz="0" w:space="0" w:color="auto"/>
          </w:divBdr>
        </w:div>
      </w:divsChild>
    </w:div>
    <w:div w:id="978144831">
      <w:bodyDiv w:val="1"/>
      <w:marLeft w:val="0"/>
      <w:marRight w:val="0"/>
      <w:marTop w:val="0"/>
      <w:marBottom w:val="0"/>
      <w:divBdr>
        <w:top w:val="none" w:sz="0" w:space="0" w:color="auto"/>
        <w:left w:val="none" w:sz="0" w:space="0" w:color="auto"/>
        <w:bottom w:val="none" w:sz="0" w:space="0" w:color="auto"/>
        <w:right w:val="none" w:sz="0" w:space="0" w:color="auto"/>
      </w:divBdr>
      <w:divsChild>
        <w:div w:id="771583034">
          <w:marLeft w:val="0"/>
          <w:marRight w:val="0"/>
          <w:marTop w:val="0"/>
          <w:marBottom w:val="0"/>
          <w:divBdr>
            <w:top w:val="none" w:sz="0" w:space="0" w:color="auto"/>
            <w:left w:val="none" w:sz="0" w:space="0" w:color="auto"/>
            <w:bottom w:val="none" w:sz="0" w:space="0" w:color="auto"/>
            <w:right w:val="none" w:sz="0" w:space="0" w:color="auto"/>
          </w:divBdr>
        </w:div>
        <w:div w:id="982319758">
          <w:marLeft w:val="0"/>
          <w:marRight w:val="0"/>
          <w:marTop w:val="0"/>
          <w:marBottom w:val="0"/>
          <w:divBdr>
            <w:top w:val="none" w:sz="0" w:space="0" w:color="auto"/>
            <w:left w:val="none" w:sz="0" w:space="0" w:color="auto"/>
            <w:bottom w:val="none" w:sz="0" w:space="0" w:color="auto"/>
            <w:right w:val="none" w:sz="0" w:space="0" w:color="auto"/>
          </w:divBdr>
        </w:div>
        <w:div w:id="1661227045">
          <w:marLeft w:val="0"/>
          <w:marRight w:val="0"/>
          <w:marTop w:val="0"/>
          <w:marBottom w:val="0"/>
          <w:divBdr>
            <w:top w:val="none" w:sz="0" w:space="0" w:color="auto"/>
            <w:left w:val="none" w:sz="0" w:space="0" w:color="auto"/>
            <w:bottom w:val="none" w:sz="0" w:space="0" w:color="auto"/>
            <w:right w:val="none" w:sz="0" w:space="0" w:color="auto"/>
          </w:divBdr>
        </w:div>
      </w:divsChild>
    </w:div>
    <w:div w:id="1014497407">
      <w:bodyDiv w:val="1"/>
      <w:marLeft w:val="0"/>
      <w:marRight w:val="0"/>
      <w:marTop w:val="0"/>
      <w:marBottom w:val="0"/>
      <w:divBdr>
        <w:top w:val="none" w:sz="0" w:space="0" w:color="auto"/>
        <w:left w:val="none" w:sz="0" w:space="0" w:color="auto"/>
        <w:bottom w:val="none" w:sz="0" w:space="0" w:color="auto"/>
        <w:right w:val="none" w:sz="0" w:space="0" w:color="auto"/>
      </w:divBdr>
      <w:divsChild>
        <w:div w:id="1214385004">
          <w:marLeft w:val="0"/>
          <w:marRight w:val="1260"/>
          <w:marTop w:val="0"/>
          <w:marBottom w:val="0"/>
          <w:divBdr>
            <w:top w:val="none" w:sz="0" w:space="0" w:color="auto"/>
            <w:left w:val="none" w:sz="0" w:space="0" w:color="auto"/>
            <w:bottom w:val="none" w:sz="0" w:space="0" w:color="auto"/>
            <w:right w:val="none" w:sz="0" w:space="0" w:color="auto"/>
          </w:divBdr>
        </w:div>
      </w:divsChild>
    </w:div>
    <w:div w:id="1534534867">
      <w:bodyDiv w:val="1"/>
      <w:marLeft w:val="0"/>
      <w:marRight w:val="0"/>
      <w:marTop w:val="0"/>
      <w:marBottom w:val="0"/>
      <w:divBdr>
        <w:top w:val="none" w:sz="0" w:space="0" w:color="auto"/>
        <w:left w:val="none" w:sz="0" w:space="0" w:color="auto"/>
        <w:bottom w:val="none" w:sz="0" w:space="0" w:color="auto"/>
        <w:right w:val="none" w:sz="0" w:space="0" w:color="auto"/>
      </w:divBdr>
      <w:divsChild>
        <w:div w:id="1062555452">
          <w:marLeft w:val="0"/>
          <w:marRight w:val="0"/>
          <w:marTop w:val="0"/>
          <w:marBottom w:val="0"/>
          <w:divBdr>
            <w:top w:val="none" w:sz="0" w:space="0" w:color="auto"/>
            <w:left w:val="none" w:sz="0" w:space="0" w:color="auto"/>
            <w:bottom w:val="none" w:sz="0" w:space="0" w:color="auto"/>
            <w:right w:val="none" w:sz="0" w:space="0" w:color="auto"/>
          </w:divBdr>
        </w:div>
        <w:div w:id="1414083334">
          <w:marLeft w:val="0"/>
          <w:marRight w:val="0"/>
          <w:marTop w:val="0"/>
          <w:marBottom w:val="0"/>
          <w:divBdr>
            <w:top w:val="none" w:sz="0" w:space="0" w:color="auto"/>
            <w:left w:val="none" w:sz="0" w:space="0" w:color="auto"/>
            <w:bottom w:val="none" w:sz="0" w:space="0" w:color="auto"/>
            <w:right w:val="none" w:sz="0" w:space="0" w:color="auto"/>
          </w:divBdr>
        </w:div>
        <w:div w:id="808129263">
          <w:marLeft w:val="0"/>
          <w:marRight w:val="0"/>
          <w:marTop w:val="0"/>
          <w:marBottom w:val="0"/>
          <w:divBdr>
            <w:top w:val="none" w:sz="0" w:space="0" w:color="auto"/>
            <w:left w:val="none" w:sz="0" w:space="0" w:color="auto"/>
            <w:bottom w:val="none" w:sz="0" w:space="0" w:color="auto"/>
            <w:right w:val="none" w:sz="0" w:space="0" w:color="auto"/>
          </w:divBdr>
        </w:div>
      </w:divsChild>
    </w:div>
    <w:div w:id="1626421956">
      <w:bodyDiv w:val="1"/>
      <w:marLeft w:val="0"/>
      <w:marRight w:val="0"/>
      <w:marTop w:val="0"/>
      <w:marBottom w:val="0"/>
      <w:divBdr>
        <w:top w:val="none" w:sz="0" w:space="0" w:color="auto"/>
        <w:left w:val="none" w:sz="0" w:space="0" w:color="auto"/>
        <w:bottom w:val="none" w:sz="0" w:space="0" w:color="auto"/>
        <w:right w:val="none" w:sz="0" w:space="0" w:color="auto"/>
      </w:divBdr>
      <w:divsChild>
        <w:div w:id="1438334563">
          <w:marLeft w:val="0"/>
          <w:marRight w:val="0"/>
          <w:marTop w:val="0"/>
          <w:marBottom w:val="0"/>
          <w:divBdr>
            <w:top w:val="none" w:sz="0" w:space="0" w:color="auto"/>
            <w:left w:val="none" w:sz="0" w:space="0" w:color="auto"/>
            <w:bottom w:val="none" w:sz="0" w:space="0" w:color="auto"/>
            <w:right w:val="none" w:sz="0" w:space="0" w:color="auto"/>
          </w:divBdr>
        </w:div>
        <w:div w:id="1361391457">
          <w:marLeft w:val="0"/>
          <w:marRight w:val="0"/>
          <w:marTop w:val="0"/>
          <w:marBottom w:val="0"/>
          <w:divBdr>
            <w:top w:val="none" w:sz="0" w:space="0" w:color="auto"/>
            <w:left w:val="none" w:sz="0" w:space="0" w:color="auto"/>
            <w:bottom w:val="none" w:sz="0" w:space="0" w:color="auto"/>
            <w:right w:val="none" w:sz="0" w:space="0" w:color="auto"/>
          </w:divBdr>
        </w:div>
        <w:div w:id="1647321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nx.org/contents/k23x5aEB@1/Rules-for-the-Use-of-Numbers-in-Scientific-Wr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Binghan</dc:creator>
  <cp:keywords/>
  <dc:description/>
  <cp:lastModifiedBy>Brian Binghan</cp:lastModifiedBy>
  <cp:revision>1</cp:revision>
  <dcterms:created xsi:type="dcterms:W3CDTF">2019-06-14T19:16:00Z</dcterms:created>
  <dcterms:modified xsi:type="dcterms:W3CDTF">2019-06-14T19:21:00Z</dcterms:modified>
</cp:coreProperties>
</file>